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МИНИСТЕРСТВО ВНУТРЕННИХ ДЕЛ РОССИЙСКОЙ ФЕДЕРАЦИИ</w:t>
      </w: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4"/>
          <w:szCs w:val="24"/>
        </w:rPr>
        <w:t>ФЕДЕРАЛЬНОЕ ГОСУДАРСТВЕННОЕ КАЗЁННОЕ ОБРАЗОВАТЕЛЬНОЕ УЧРЕЖДЕНИЕ ВЫСШЕГО ПРОФЕССИОНАЛЬНОГО ОБРАЗОВАНИЯ</w:t>
      </w: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4"/>
          <w:szCs w:val="24"/>
        </w:rPr>
        <w:t>«ОРЛОВСКИЙ ЮРИДИЧЕСКИЙ ИНСТИТУТ МВД РОССИИ ИМЕНИ В.В. ЛУКЬЯНОВА»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Кафедра уголовного процесса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709"/>
        <w:jc w:val="center"/>
        <w:rPr>
          <w:rFonts w:ascii="Times New Roman" w:eastAsia="Times New Roman" w:hAnsi="Times New Roman" w:cs="Times New Roman"/>
          <w:sz w:val="24"/>
          <w:szCs w:val="24"/>
        </w:rPr>
      </w:pPr>
    </w:p>
    <w:p w:rsidR="002406A5" w:rsidRPr="002406A5" w:rsidRDefault="002406A5" w:rsidP="002406A5">
      <w:pPr>
        <w:keepNext/>
        <w:spacing w:before="100" w:beforeAutospacing="1" w:after="62" w:line="240" w:lineRule="auto"/>
        <w:jc w:val="center"/>
        <w:outlineLvl w:val="0"/>
        <w:rPr>
          <w:rFonts w:ascii="Arial" w:eastAsia="Times New Roman" w:hAnsi="Arial" w:cs="Arial"/>
          <w:b/>
          <w:bCs/>
          <w:kern w:val="36"/>
          <w:sz w:val="32"/>
          <w:szCs w:val="32"/>
        </w:rPr>
      </w:pPr>
      <w:r w:rsidRPr="002406A5">
        <w:rPr>
          <w:rFonts w:ascii="Bookman Old Style" w:eastAsia="Times New Roman" w:hAnsi="Bookman Old Style" w:cs="Arial"/>
          <w:b/>
          <w:bCs/>
          <w:kern w:val="36"/>
          <w:sz w:val="40"/>
          <w:szCs w:val="40"/>
        </w:rPr>
        <w:t>СУДЕБНАЯ БУХГАЛТЕРИЯ</w:t>
      </w:r>
    </w:p>
    <w:p w:rsidR="002406A5" w:rsidRPr="002406A5" w:rsidRDefault="002406A5" w:rsidP="002406A5">
      <w:pPr>
        <w:spacing w:before="100" w:beforeAutospacing="1" w:after="0" w:line="240" w:lineRule="auto"/>
        <w:ind w:firstLine="709"/>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 xml:space="preserve">ТЕМАТИКА </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контрольных работ и методические рекомендации по их выполнению</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по дисциплине «Судебная бухгалтерия»</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для слушателей 6 курса факультета заочного обучения, обучающихся на базе среднего (полного) общего образования </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по специальности 030501 65 – Юриспруденция (набор 2010 года)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на 2014/2015 учебный год</w:t>
      </w:r>
    </w:p>
    <w:p w:rsid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Орёл-2014</w:t>
      </w:r>
    </w:p>
    <w:p w:rsidR="002406A5" w:rsidRPr="002406A5" w:rsidRDefault="002406A5" w:rsidP="002406A5">
      <w:pPr>
        <w:pageBreakBefore/>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lastRenderedPageBreak/>
        <w:t>Методические рекомендации по написанию контрольной работы.</w:t>
      </w:r>
    </w:p>
    <w:p w:rsidR="002406A5" w:rsidRPr="002406A5" w:rsidRDefault="002406A5" w:rsidP="002406A5">
      <w:pPr>
        <w:spacing w:before="100" w:beforeAutospacing="1" w:after="0" w:line="240" w:lineRule="auto"/>
        <w:ind w:firstLine="720"/>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Написание контрольной работы является одним из основных видов письменных работ, выполняемых слушателями в период обучения. Рабочим учебным планом Орловского юридического института предусмотрено выполнение слушателями 6 курса факультета заочного обучения, обучающихся на базе среднего (полного) общего образования по специальности 030501 65 – Юриспруденция контрольной работы по дисциплине «Судебная бухгалтерия».</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Целью выполнения контрольной работы является получение навыков самостоятельной научно-исследовательской работы, закрепление и углубление полученных теоретических знаний, а также проверка этих знаний и умения применять их на практике.</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Выполнение контрольной работы осуществляется в несколько этапов:</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i/>
          <w:iCs/>
          <w:sz w:val="27"/>
          <w:szCs w:val="27"/>
        </w:rPr>
        <w:t>1. Выбор темы.</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Тематика включает в себя 10 тем контрольных работ. Слушатель выполняет контрольную работу по одной из них. Номер темы выбирается по последней цифре номера зачетной книжки (например, зачетная книжка имеет № 8</w:t>
      </w:r>
      <w:r w:rsidRPr="002406A5">
        <w:rPr>
          <w:rFonts w:ascii="Times New Roman" w:eastAsia="Times New Roman" w:hAnsi="Times New Roman" w:cs="Times New Roman"/>
          <w:sz w:val="27"/>
          <w:szCs w:val="27"/>
          <w:u w:val="single"/>
        </w:rPr>
        <w:t>5</w:t>
      </w:r>
      <w:r w:rsidRPr="002406A5">
        <w:rPr>
          <w:rFonts w:ascii="Times New Roman" w:eastAsia="Times New Roman" w:hAnsi="Times New Roman" w:cs="Times New Roman"/>
          <w:sz w:val="27"/>
          <w:szCs w:val="27"/>
        </w:rPr>
        <w:t xml:space="preserve"> - выполняется работа по теме 5, если этой цифрой является ноль, то слушатель выполняет работу по 10 теме). Произвольный выбор темы не допускается. Выполнение работы по ненадлежащей теме является основанием для не допуска ее к защите.</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i/>
          <w:iCs/>
          <w:sz w:val="27"/>
          <w:szCs w:val="27"/>
        </w:rPr>
        <w:t>2. Изучение нормативных актов, литературы и практических материалов.</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После того, как выбрана тема контрольной работы, Вы должны подобрать необходимую литературу. Вы должны уяснить, что основной формой изучения любого материала является самостоятельная работа. Во главу угла самостоя</w:t>
      </w:r>
      <w:r w:rsidRPr="002406A5">
        <w:rPr>
          <w:rFonts w:ascii="Times New Roman" w:eastAsia="Times New Roman" w:hAnsi="Times New Roman" w:cs="Times New Roman"/>
          <w:sz w:val="27"/>
          <w:szCs w:val="27"/>
        </w:rPr>
        <w:softHyphen/>
        <w:t>тельного изучения следует положить кропотливую работу по усвоению первоисточников: текстов Конституции РФ, Уголовно-процессуального кодекса РФ и иных законов, международных договоров. В уяснении буквы и духа закона несомненную помощь окажут постановления и определения Конституционного Суда РФ, постановления Пленумов Верховного Суда РФ, приказы и инструкции Генеральной прокуратуры РФ, Министра внутренних дел РФ. Вестники (бюллетени) этих органов содержат анализ следственной и судебной практики как в обобщенном, так и в конкретном виде. Систематизированная следственная и судебная практика находится в различного рода сборниках и журналах. Лучшему усвоению содержания курса способствует регулярное ознакомление с трудами, публикуемыми в журналах «Государство и право», «Правоведение», «Законность», «Российская юстиция», «Российский следователь», «Уголовное судопроизводство», «Уголовное право» и других.</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lastRenderedPageBreak/>
        <w:t xml:space="preserve">3. Непосредственное выполнение контрольной работы. </w:t>
      </w:r>
    </w:p>
    <w:p w:rsidR="002406A5" w:rsidRPr="002406A5" w:rsidRDefault="002406A5" w:rsidP="002406A5">
      <w:pPr>
        <w:spacing w:before="100" w:beforeAutospacing="1" w:after="0" w:line="240" w:lineRule="auto"/>
        <w:ind w:left="79"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Структурно контрольная работа должна состоять из следующих частей:</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Титульный лист.</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i/>
          <w:iCs/>
          <w:sz w:val="27"/>
          <w:szCs w:val="27"/>
          <w:u w:val="single"/>
        </w:rPr>
        <w:t>ОБРАЗЕЦ ТИТУЛЬНОГО ЛИСТА</w:t>
      </w: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МИНИСТЕРСТВО ВНУТРЕННИХ ДЕЛ РОССИЙСКОЙ ФЕДЕРАЦИИ</w:t>
      </w: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4"/>
          <w:szCs w:val="24"/>
        </w:rPr>
        <w:t>ФЕДЕРАЛЬНОЕ ГОСУДАРСТВЕННОЕ КАЗЁННОЕ ОБРАЗОВАТЕЛЬНОЕ УЧРЕЖДЕНИЕ ВЫСШЕГО ПРОФЕССИОНАЛЬНОГО ОБРАЗОВАНИЯ</w:t>
      </w:r>
    </w:p>
    <w:p w:rsidR="002406A5" w:rsidRPr="002406A5" w:rsidRDefault="002406A5" w:rsidP="002406A5">
      <w:pPr>
        <w:spacing w:before="100" w:beforeAutospacing="1" w:after="0" w:line="240" w:lineRule="auto"/>
        <w:ind w:left="-680"/>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4"/>
          <w:szCs w:val="24"/>
        </w:rPr>
        <w:t>«ОРЛОВСКИЙ ЮРИДИЧЕСКИЙ ИНСТИТУТ МВД РОССИИ ИМЕНИ В.В. ЛУКЬЯНОВА»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Кафедра уголовного процесса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Контрольная работа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по учебной дисциплине «Судебная бухгалтерия»</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Вариант №9</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312"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Выполнил:</w:t>
      </w:r>
      <w:r w:rsidRPr="002406A5">
        <w:rPr>
          <w:rFonts w:ascii="Times New Roman" w:eastAsia="Times New Roman" w:hAnsi="Times New Roman" w:cs="Times New Roman"/>
          <w:sz w:val="27"/>
          <w:szCs w:val="27"/>
        </w:rPr>
        <w:t xml:space="preserve"> </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Михайловский Валерий Сергеевич слушатель 3 курса очной формы </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обучения, 301 учебная группа.</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Домашний адрес:</w:t>
      </w:r>
      <w:r w:rsidRPr="002406A5">
        <w:rPr>
          <w:rFonts w:ascii="Times New Roman" w:eastAsia="Times New Roman" w:hAnsi="Times New Roman" w:cs="Times New Roman"/>
          <w:sz w:val="27"/>
          <w:szCs w:val="27"/>
        </w:rPr>
        <w:t xml:space="preserve"> </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г. Орел, ул. Игнатова д. 2 </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Тел. 48-08-66</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Место работы:</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ОП №3 г. Орла</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Г. Орел ул. Советская д. 45 </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тел.: 76-23-18</w:t>
      </w: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left="4678" w:right="57"/>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keepNext/>
        <w:spacing w:before="100" w:beforeAutospacing="1" w:after="62" w:line="240" w:lineRule="auto"/>
        <w:jc w:val="center"/>
        <w:outlineLvl w:val="3"/>
        <w:rPr>
          <w:rFonts w:ascii="Times New Roman" w:eastAsia="Times New Roman" w:hAnsi="Times New Roman" w:cs="Times New Roman"/>
          <w:b/>
          <w:bCs/>
          <w:sz w:val="28"/>
          <w:szCs w:val="28"/>
        </w:rPr>
      </w:pPr>
      <w:r w:rsidRPr="002406A5">
        <w:rPr>
          <w:rFonts w:ascii="Times New Roman" w:eastAsia="Times New Roman" w:hAnsi="Times New Roman" w:cs="Times New Roman"/>
          <w:b/>
          <w:bCs/>
          <w:sz w:val="28"/>
          <w:szCs w:val="28"/>
        </w:rPr>
        <w:t>Орел - 2013</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План.</w:t>
      </w:r>
      <w:r w:rsidRPr="002406A5">
        <w:rPr>
          <w:rFonts w:ascii="Times New Roman" w:eastAsia="Times New Roman" w:hAnsi="Times New Roman" w:cs="Times New Roman"/>
          <w:sz w:val="27"/>
          <w:szCs w:val="27"/>
        </w:rPr>
        <w:t xml:space="preserve"> План работы должен включать в себя название вопросов и список использованных источников с указанием страниц их нахождения.</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Основная часть.</w:t>
      </w:r>
      <w:r w:rsidRPr="002406A5">
        <w:rPr>
          <w:rFonts w:ascii="Times New Roman" w:eastAsia="Times New Roman" w:hAnsi="Times New Roman" w:cs="Times New Roman"/>
          <w:sz w:val="27"/>
          <w:szCs w:val="27"/>
        </w:rPr>
        <w:t xml:space="preserve"> Теоретические вопросы контрольной работы посвящаются конкретному аспекту указанной деятельности. Каждый теоретический вопрос должен быть рассмотрен в объеме 8-10 стр. печатного или рукописного текста.</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lastRenderedPageBreak/>
        <w:t>После изучения литературы по данному вопросу следует изложить на черновике основные теоретические положения.</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Особое внимание при разработке этих положений следует обратить на правильное и четкое определение понятий, анализ высказанных в юридической литературе точек зрения по рассматриваемым вопросам. Слушателям необходимо стремится к творческому переосмыслению теоретического материала, Вы не должны бояться выразить собственное мнение по существующим проблемам.</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При написании контрольной работы обязательно следует учитывать изменения и дополнения, внесенные в действующее законодательство.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Подготовка контрольной работы предполагает анализ и обобщение следственной и судебной практики по избранной теме. Чем больше и качественнее будет изучен практический материал, тем убедительнее и достовернее будут выводы контрольной работы. В случаях, когда по какой-либо из тем не удается найти и изучить материалы уголовных дел местных органов внутренних дел, можно ограничиться использованием данных, опубликованной следственной и судебной практикой (обобщения, обзоры и т.п.).</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Изложение теоретических положений в контрольной работе следует иллюстрировать как положительными, так и отрицательными примерами практической деятельности следственных органов и судов. При этом должны быть сделаны ссылки на конкретный орган, номер дела, его год, либо ссылка на использованный источник.</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После освещения теоретического вопроса слушатель должен сделать по нему краткий вывод.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t>Составление библиографии.</w:t>
      </w:r>
      <w:r w:rsidRPr="002406A5">
        <w:rPr>
          <w:rFonts w:ascii="Times New Roman" w:eastAsia="Times New Roman" w:hAnsi="Times New Roman" w:cs="Times New Roman"/>
          <w:sz w:val="27"/>
          <w:szCs w:val="27"/>
        </w:rPr>
        <w:t xml:space="preserve"> Помимо основной литературы, предлагаемой в данных рекомендациях, необходимые источники можно подобрать, просмотрев последние номера юридических журналов, в которых печатается перечень статей, опубликованных в минувшем году в данном журнале. При использовании литературных источников следует внимательно анализировать их содержание. Во избежание ошибок следует обращаться в библиографический отдел Орловского юридического института либо к преподавателям, которые дадут консультацию об изменениях, внесенных в нормативный материал.</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Приводя цитаты из различных литературных источников, следует делать ссылки на автора и название работы, место и год издания, указывать номера страницы. Недопустимо использование положений любой публикации без ссылки на нее.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Пересказ того или иного положения монографии либо статьи, так же как и цитата, должен сопровождаться ссылками на источник (при этом в сноске перед </w:t>
      </w:r>
      <w:r w:rsidRPr="002406A5">
        <w:rPr>
          <w:rFonts w:ascii="Times New Roman" w:eastAsia="Times New Roman" w:hAnsi="Times New Roman" w:cs="Times New Roman"/>
          <w:sz w:val="27"/>
          <w:szCs w:val="27"/>
        </w:rPr>
        <w:lastRenderedPageBreak/>
        <w:t xml:space="preserve">выходными данными источника пишется «См.: ...»). Ссылки помещаются под специальной чертой в нижней части листа и нумеруются по порядку по каждому вопросу курсовой работы. Если на одной странице непосредственно после ссылки на какой-либо источник вновь упоминается тот же источник, то в последующих ссылках не следует повторять первую, а достаточно указать «Там же» и поставить страницу, откуда взята цитата. Если одна и та же работа цитируется на разных страницах, то полностью выходные данные источника нужно дать только в первой ссылке, а в дальнейшем достаточно привести автора, «Указ. соч.» и страницу. Кроме ссылок, в конце страницы помещаются так же сноски, в которых курсант может делать какие-либо дополнительные пояснения к тексту, указывать другие работы, анализирующие рассматриваемый вопрос, и пр.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color w:val="000000"/>
          <w:sz w:val="27"/>
          <w:szCs w:val="27"/>
        </w:rPr>
        <w:t>Нумерация ссылок на каждой странице начинается с «1», произ</w:t>
      </w:r>
      <w:r w:rsidRPr="002406A5">
        <w:rPr>
          <w:rFonts w:ascii="Times New Roman" w:eastAsia="Times New Roman" w:hAnsi="Times New Roman" w:cs="Times New Roman"/>
          <w:color w:val="000000"/>
          <w:sz w:val="27"/>
          <w:szCs w:val="27"/>
        </w:rPr>
        <w:softHyphen/>
        <w:t>водится арабскими цифрами. Текст ссылки выполняется через 1 интервал с использованием шрифта «</w:t>
      </w:r>
      <w:r w:rsidRPr="002406A5">
        <w:rPr>
          <w:rFonts w:ascii="Times New Roman" w:eastAsia="Times New Roman" w:hAnsi="Times New Roman" w:cs="Times New Roman"/>
          <w:color w:val="000000"/>
          <w:sz w:val="27"/>
          <w:szCs w:val="27"/>
          <w:lang w:val="en-US"/>
        </w:rPr>
        <w:t>Times</w:t>
      </w:r>
      <w:r w:rsidRPr="002406A5">
        <w:rPr>
          <w:rFonts w:ascii="Times New Roman" w:eastAsia="Times New Roman" w:hAnsi="Times New Roman" w:cs="Times New Roman"/>
          <w:color w:val="000000"/>
          <w:sz w:val="27"/>
          <w:szCs w:val="27"/>
        </w:rPr>
        <w:t xml:space="preserve"> </w:t>
      </w:r>
      <w:r w:rsidRPr="002406A5">
        <w:rPr>
          <w:rFonts w:ascii="Times New Roman" w:eastAsia="Times New Roman" w:hAnsi="Times New Roman" w:cs="Times New Roman"/>
          <w:color w:val="000000"/>
          <w:sz w:val="27"/>
          <w:szCs w:val="27"/>
          <w:lang w:val="en-US"/>
        </w:rPr>
        <w:t>New</w:t>
      </w:r>
      <w:r w:rsidRPr="002406A5">
        <w:rPr>
          <w:rFonts w:ascii="Times New Roman" w:eastAsia="Times New Roman" w:hAnsi="Times New Roman" w:cs="Times New Roman"/>
          <w:color w:val="000000"/>
          <w:sz w:val="27"/>
          <w:szCs w:val="27"/>
        </w:rPr>
        <w:t xml:space="preserve"> </w:t>
      </w:r>
      <w:r w:rsidRPr="002406A5">
        <w:rPr>
          <w:rFonts w:ascii="Times New Roman" w:eastAsia="Times New Roman" w:hAnsi="Times New Roman" w:cs="Times New Roman"/>
          <w:color w:val="000000"/>
          <w:sz w:val="27"/>
          <w:szCs w:val="27"/>
          <w:lang w:val="en-US"/>
        </w:rPr>
        <w:t>Roman</w:t>
      </w:r>
      <w:r w:rsidRPr="002406A5">
        <w:rPr>
          <w:rFonts w:ascii="Times New Roman" w:eastAsia="Times New Roman" w:hAnsi="Times New Roman" w:cs="Times New Roman"/>
          <w:color w:val="000000"/>
          <w:sz w:val="27"/>
          <w:szCs w:val="27"/>
        </w:rPr>
        <w:t>», размер шрифта 12, выравнива</w:t>
      </w:r>
      <w:r w:rsidRPr="002406A5">
        <w:rPr>
          <w:rFonts w:ascii="Times New Roman" w:eastAsia="Times New Roman" w:hAnsi="Times New Roman" w:cs="Times New Roman"/>
          <w:color w:val="000000"/>
          <w:sz w:val="27"/>
          <w:szCs w:val="27"/>
        </w:rPr>
        <w:softHyphen/>
        <w:t>ние абзаца - по ширине страницы.</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Образец:</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См.: Кулешов Ю.И. Некоторые аспекты защиты чести и достоинства потерпевшего в преступлениях//Потерпевший от преступления (уголовно-правовой, уголовно-процессуальный, криминологический и психолого-медицинский аспекты) Материалы региональной научно-практической конференции профессорско-преподавательского состава / Ростовский государственный экономический университет «РИНХ». Ростов, 2006. С.38.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Текст необходимо излагать от множественного числа («мы», «по нашему мнению») или от имени третьего лица («автор», «по мнению автора»).</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работе допустимы лишь общепринятые сокращения, например вместо «и другие» - «и д.р.», «и так далее» - «и т.д.», другие сокращения и аббревиатура в курсовой работе не допускаются.</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b/>
          <w:bCs/>
          <w:i/>
          <w:iCs/>
          <w:sz w:val="27"/>
          <w:szCs w:val="27"/>
          <w:u w:val="single"/>
        </w:rPr>
        <w:t>5. Оформление и объем работы.</w:t>
      </w:r>
      <w:r w:rsidRPr="002406A5">
        <w:rPr>
          <w:rFonts w:ascii="Times New Roman" w:eastAsia="Times New Roman" w:hAnsi="Times New Roman" w:cs="Times New Roman"/>
          <w:sz w:val="27"/>
          <w:szCs w:val="27"/>
        </w:rPr>
        <w:t xml:space="preserve">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Определенные требования предъявляются к оформлению работы. </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За титульным листом должен следовать план работы. Теоретическая часть работы должна содержать три теоретических вопроса. После каждого вопроса автором должен быть сделан краткий вывод. После текста контрольной работы даются возможные приложения в виде таблиц, схем, диаграмм (если это необходимо). В конце работы приводится список используемой литературы. В первом разделе списка указывается нормативный материал, во втором - в алфавитном порядке фамилии авторов монографий, учебники, журнальные статьи, учебные пособия и т.д. В последнем разделе помещаются постановления Пленума Верховного Суда РФ и судебно-следственная практика с указанием </w:t>
      </w:r>
      <w:r w:rsidRPr="002406A5">
        <w:rPr>
          <w:rFonts w:ascii="Times New Roman" w:eastAsia="Times New Roman" w:hAnsi="Times New Roman" w:cs="Times New Roman"/>
          <w:sz w:val="27"/>
          <w:szCs w:val="27"/>
        </w:rPr>
        <w:lastRenderedPageBreak/>
        <w:t>источника опубликованной практики. Если практика не опубликована, то необходимо указать, архивы каких следственных органов и судов использованы в контрольной работе и за какой срок.</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Контрольная работа должна быть грамотно написана и аккуратно оформлена. Недопустимо переписывание текста из литературного источника без ссылки на ее автора, названия работы, органа издания и года издания, номера страницы.</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Объем работы должен быть в пределах 26-36 страниц рукописного текста или печатного текста. Исполнение текста с использованием компьютера одобряется и учитывается, как умение применять технические средства.</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На страницах контрольной работы должны быть оставлены поля (правое, верхнее и нижнее поле – 2 см., левое – 3 см) шрифт – 1.5, страницы следует пронумеровать (в правом нижнем углу, на первой странице нумерация не ставится).</w:t>
      </w:r>
    </w:p>
    <w:p w:rsidR="002406A5" w:rsidRPr="002406A5" w:rsidRDefault="002406A5" w:rsidP="002406A5">
      <w:pPr>
        <w:spacing w:before="100" w:beforeAutospacing="1" w:after="0" w:line="240" w:lineRule="auto"/>
        <w:ind w:firstLine="709"/>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Контрольная работа оценивается как «зачтено» или «не зачтено». </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pageBreakBefore/>
        <w:shd w:val="clear" w:color="auto" w:fill="FFFFFF"/>
        <w:spacing w:before="100" w:beforeAutospacing="1" w:after="0" w:line="312"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b/>
          <w:bCs/>
          <w:sz w:val="27"/>
          <w:szCs w:val="27"/>
        </w:rPr>
        <w:lastRenderedPageBreak/>
        <w:t>ТЕМАТИКА КОНТРОЛЬНЫХ РАБОТ</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1</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902"/>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Предмет, метод и правовая основа судебной бухгалтерии.</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Документы бухгалтерского учета: их виды, значение. Значение бухгалтерских документов по уголовным делам.</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2</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Понятие и виды учета на предприятиях. Учетная политика предприятия.</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2. Организация бухгалтерского учета и отчетности в РФ, её формы. </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3</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Предмет, объекты и метод бухгалтерского учета.</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Бухгалтерские счета, строение счетов, значение их оборотов и сальдо.</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4</w:t>
      </w:r>
    </w:p>
    <w:p w:rsidR="002406A5" w:rsidRPr="002406A5" w:rsidRDefault="002406A5" w:rsidP="002406A5">
      <w:pPr>
        <w:spacing w:before="100" w:beforeAutospacing="1" w:after="0" w:line="240" w:lineRule="auto"/>
        <w:ind w:firstLine="902"/>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902"/>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1. Двойная запись ее контрольное значение. Использование способа двойной записи при доказывании финансовых преступлений. </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Документальный анализ и основы его применения в юридической практике.</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lastRenderedPageBreak/>
        <w:t>В А Р И А Н Т № 5</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Материальный и интеллектуальный подлог в документах. Приёмы и способы, применяемые при выявлении подложных документов.</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Бухгалтерский баланс: строение, содержание, его значение в юридической практике.</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6</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Порядок назначения и проведения инвентаризации товарно-материальных ценностей. Анализ ее результатов следователем и судом.</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Встречная проверка и метод взаимного контроля документов, область их применения.</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7</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Сущность и организация хозяйственного контроля в РФ. Документальная ревизия – как форма финансового контроля.</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Документальная ревизия: задачи, организация, значение.</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8</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Особенности проведения документальной ревизии по требованию судебно-следственных органов.</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Участие бухгалтера в качестве специалиста в производстве процессуальных действий.</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highlight w:val="yellow"/>
        </w:rPr>
      </w:pPr>
      <w:r w:rsidRPr="002406A5">
        <w:rPr>
          <w:rFonts w:ascii="Times New Roman" w:eastAsia="Times New Roman" w:hAnsi="Times New Roman" w:cs="Times New Roman"/>
          <w:sz w:val="27"/>
          <w:szCs w:val="27"/>
          <w:highlight w:val="yellow"/>
        </w:rPr>
        <w:t>В А Р И А Н Т № 9</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highlight w:val="yellow"/>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highlight w:val="yellow"/>
        </w:rPr>
      </w:pPr>
      <w:r w:rsidRPr="002406A5">
        <w:rPr>
          <w:rFonts w:ascii="Times New Roman" w:eastAsia="Times New Roman" w:hAnsi="Times New Roman" w:cs="Times New Roman"/>
          <w:sz w:val="27"/>
          <w:szCs w:val="27"/>
          <w:highlight w:val="yellow"/>
        </w:rPr>
        <w:t>1. Порядок назначения и проведения судебно-бухгалтерской экспертизы.</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highlight w:val="yellow"/>
        </w:rPr>
        <w:t>2. Содержание заключения эксперта-бухгалтера. Требования, предъявляемые к заключению эксперта.</w:t>
      </w: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jc w:val="center"/>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В А Р И А Н Т № 10</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1. Права, обязанности, компетенция и ответственность экспертов-бухгалтеров.</w:t>
      </w:r>
    </w:p>
    <w:p w:rsidR="002406A5" w:rsidRPr="002406A5" w:rsidRDefault="002406A5" w:rsidP="002406A5">
      <w:pPr>
        <w:spacing w:before="100" w:beforeAutospacing="1" w:after="0" w:line="240" w:lineRule="auto"/>
        <w:ind w:firstLine="851"/>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2. Роль следователя (суда) при производстве судебно-бухгалтерской экспертизы.</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ind w:firstLine="720"/>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Тематика контрольных работ и методика по ее написанию обсуждена и одобрена на заседании кафедры уголовного процесса 5</w:t>
      </w:r>
      <w:r w:rsidRPr="002406A5">
        <w:rPr>
          <w:rFonts w:ascii="Times New Roman" w:eastAsia="Times New Roman" w:hAnsi="Times New Roman" w:cs="Times New Roman"/>
          <w:sz w:val="27"/>
        </w:rPr>
        <w:t xml:space="preserve"> ноября 2014 года, Протокол № 20.</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Начальник кафедры </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уголовного процесса</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r w:rsidRPr="002406A5">
        <w:rPr>
          <w:rFonts w:ascii="Times New Roman" w:eastAsia="Times New Roman" w:hAnsi="Times New Roman" w:cs="Times New Roman"/>
          <w:sz w:val="27"/>
          <w:szCs w:val="27"/>
        </w:rPr>
        <w:t xml:space="preserve">полковник полиции А.В. Гришин </w:t>
      </w: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2406A5" w:rsidRPr="002406A5" w:rsidRDefault="002406A5" w:rsidP="002406A5">
      <w:pPr>
        <w:spacing w:before="100" w:beforeAutospacing="1" w:after="0" w:line="240" w:lineRule="auto"/>
        <w:rPr>
          <w:rFonts w:ascii="Times New Roman" w:eastAsia="Times New Roman" w:hAnsi="Times New Roman" w:cs="Times New Roman"/>
          <w:sz w:val="24"/>
          <w:szCs w:val="24"/>
        </w:rPr>
      </w:pPr>
    </w:p>
    <w:p w:rsidR="003A01DF" w:rsidRDefault="003A01DF"/>
    <w:sectPr w:rsidR="003A0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2406A5"/>
    <w:rsid w:val="002406A5"/>
    <w:rsid w:val="003A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6A5"/>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406A5"/>
    <w:pPr>
      <w:keepNext/>
      <w:spacing w:before="100" w:beforeAutospacing="1" w:after="62"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6A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406A5"/>
    <w:rPr>
      <w:rFonts w:ascii="Times New Roman" w:eastAsia="Times New Roman" w:hAnsi="Times New Roman" w:cs="Times New Roman"/>
      <w:b/>
      <w:bCs/>
      <w:sz w:val="28"/>
      <w:szCs w:val="28"/>
    </w:rPr>
  </w:style>
  <w:style w:type="character" w:styleId="a3">
    <w:name w:val="Strong"/>
    <w:basedOn w:val="a0"/>
    <w:uiPriority w:val="22"/>
    <w:qFormat/>
    <w:rsid w:val="002406A5"/>
    <w:rPr>
      <w:b/>
      <w:bCs/>
    </w:rPr>
  </w:style>
  <w:style w:type="paragraph" w:styleId="a4">
    <w:name w:val="Normal (Web)"/>
    <w:basedOn w:val="a"/>
    <w:uiPriority w:val="99"/>
    <w:semiHidden/>
    <w:unhideWhenUsed/>
    <w:rsid w:val="002406A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2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1800</Words>
  <Characters>10264</Characters>
  <Application>Microsoft Office Word</Application>
  <DocSecurity>0</DocSecurity>
  <Lines>85</Lines>
  <Paragraphs>24</Paragraphs>
  <ScaleCrop>false</ScaleCrop>
  <Company>SPecialiST RePack</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калуга</dc:creator>
  <cp:keywords/>
  <dc:description/>
  <cp:lastModifiedBy>калуга</cp:lastModifiedBy>
  <cp:revision>3</cp:revision>
  <dcterms:created xsi:type="dcterms:W3CDTF">2015-08-24T11:34:00Z</dcterms:created>
  <dcterms:modified xsi:type="dcterms:W3CDTF">2015-08-24T11:38:00Z</dcterms:modified>
</cp:coreProperties>
</file>